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D" w:rsidRPr="000A4C67" w:rsidRDefault="00390A0D" w:rsidP="00390A0D">
      <w:pPr>
        <w:pStyle w:val="a5"/>
        <w:tabs>
          <w:tab w:val="left" w:pos="454"/>
          <w:tab w:val="left" w:pos="907"/>
          <w:tab w:val="left" w:pos="1361"/>
          <w:tab w:val="left" w:pos="1814"/>
        </w:tabs>
        <w:suppressAutoHyphens/>
        <w:spacing w:line="240" w:lineRule="auto"/>
        <w:jc w:val="left"/>
        <w:rPr>
          <w:rFonts w:ascii="Times New Roman" w:eastAsia="PMingLiU" w:hAnsi="Times New Roman" w:cs="MHeiHK-Bold"/>
          <w:b/>
          <w:bCs/>
          <w:color w:val="000000" w:themeColor="text1"/>
          <w:sz w:val="60"/>
          <w:szCs w:val="60"/>
          <w:u w:color="D0111A"/>
          <w:lang w:val="en-US"/>
        </w:rPr>
      </w:pPr>
      <w:r w:rsidRPr="00390A0D">
        <w:rPr>
          <w:rFonts w:ascii="Times New Roman" w:eastAsia="宋体" w:hAnsi="Times New Roman" w:cs="MHeiHK-Bold" w:hint="eastAsia"/>
          <w:b/>
          <w:bCs/>
          <w:color w:val="000000" w:themeColor="text1"/>
          <w:sz w:val="60"/>
          <w:szCs w:val="60"/>
          <w:u w:color="D0111A"/>
          <w:lang w:val="en-US" w:eastAsia="zh-CN"/>
        </w:rPr>
        <w:t>财务摘要</w:t>
      </w:r>
      <w:bookmarkStart w:id="0" w:name="_GoBack"/>
      <w:bookmarkEnd w:id="0"/>
    </w:p>
    <w:p w:rsidR="00390A0D" w:rsidRPr="000A4C67" w:rsidRDefault="00390A0D" w:rsidP="00390A0D">
      <w:pPr>
        <w:pStyle w:val="00Bodytext"/>
        <w:rPr>
          <w:rStyle w:val="Italic"/>
          <w:rFonts w:ascii="Times New Roman" w:eastAsia="PMingLiU" w:hAnsi="Times New Roman"/>
          <w:color w:val="000000" w:themeColor="text1"/>
          <w:sz w:val="14"/>
          <w:szCs w:val="14"/>
        </w:rPr>
      </w:pPr>
      <w:r w:rsidRPr="00390A0D">
        <w:rPr>
          <w:rStyle w:val="Italic"/>
          <w:rFonts w:ascii="Times New Roman" w:eastAsia="宋体" w:hAnsi="Times New Roman" w:hint="eastAsia"/>
          <w:color w:val="000000" w:themeColor="text1"/>
          <w:sz w:val="14"/>
          <w:szCs w:val="14"/>
          <w:lang w:eastAsia="zh-CN"/>
        </w:rPr>
        <w:t>（所有金额均以人民币百万元为单位）</w:t>
      </w: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Times New Roman" w:eastAsia="PMingLiU" w:hAnsi="Times New Roman" w:cs="Times LT Std"/>
          <w:b/>
          <w:bCs/>
          <w:caps/>
          <w:color w:val="000000" w:themeColor="text1"/>
          <w:sz w:val="20"/>
          <w:szCs w:val="20"/>
          <w:u w:color="D0111A"/>
          <w:lang w:val="zh-TW"/>
        </w:rPr>
      </w:pPr>
      <w:r w:rsidRPr="00390A0D">
        <w:rPr>
          <w:rFonts w:ascii="Times New Roman" w:eastAsia="宋体" w:hAnsi="Times New Roman" w:cs="Times LT Std" w:hint="eastAsia"/>
          <w:b/>
          <w:bCs/>
          <w:caps/>
          <w:color w:val="000000" w:themeColor="text1"/>
          <w:sz w:val="20"/>
          <w:szCs w:val="20"/>
          <w:u w:color="D0111A"/>
          <w:lang w:val="zh-TW" w:eastAsia="zh-CN"/>
        </w:rPr>
        <w:t>合并损益及其他综合收益表（已经审计）</w:t>
      </w: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PMingLiU" w:hAnsi="Times New Roman" w:cs="Times LT Std"/>
          <w:color w:val="000000" w:themeColor="text1"/>
          <w:sz w:val="18"/>
          <w:szCs w:val="18"/>
          <w:u w:color="D0111A"/>
          <w:lang w:val="zh-TW"/>
        </w:rPr>
      </w:pPr>
      <w:r w:rsidRPr="00390A0D">
        <w:rPr>
          <w:rFonts w:ascii="Times New Roman" w:eastAsia="宋体" w:hAnsi="Times New Roman" w:cs="Times LT Std" w:hint="eastAsia"/>
          <w:color w:val="000000" w:themeColor="text1"/>
          <w:sz w:val="18"/>
          <w:szCs w:val="18"/>
          <w:u w:color="D0111A"/>
          <w:lang w:val="zh-TW" w:eastAsia="zh-CN"/>
        </w:rPr>
        <w:t>截至十二月三十一日止年度</w:t>
      </w: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PMingLiU" w:hAnsi="Times New Roman" w:cs="Times LT Std"/>
          <w:color w:val="000000" w:themeColor="text1"/>
          <w:sz w:val="18"/>
          <w:szCs w:val="18"/>
          <w:u w:color="D0111A"/>
          <w:lang w:val="zh-TW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PMingLiU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二零一七年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二零一八年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二零一九年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二零二零年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二零二一年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收入总计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186,390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227,711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233,199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155,372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246,111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费用总计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(149,340)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(147,544)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(149,004)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(118,983)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(150,132)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（财务费用）</w:t>
            </w:r>
            <w:r w:rsidRPr="00390A0D">
              <w:rPr>
                <w:rFonts w:ascii="Times New Roman" w:eastAsia="宋体" w:hAnsi="Times New Roman" w:cs="PMingLiU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╱</w:t>
            </w: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利息收入，净额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(4,391)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(4,364)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(4,798)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(4,717)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(4,678)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联营及合营公司利润</w:t>
            </w:r>
            <w:r w:rsidRPr="00390A0D">
              <w:rPr>
                <w:rFonts w:ascii="Times New Roman" w:eastAsia="宋体" w:hAnsi="Times New Roman" w:cs="PMingLiU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╱</w:t>
            </w: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（损失）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855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(5,187)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1,002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(632)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346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投资收益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2,409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3,685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4,632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2,978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2,850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税前利润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36,357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75,157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85,649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34,907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95,821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所得税费用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(11,680)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(22,482)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(24,604)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(9,951)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(25,514)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净利润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24,677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52,675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61,045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24,956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70,307</w:t>
            </w:r>
          </w:p>
        </w:tc>
      </w:tr>
    </w:tbl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PMingLiU" w:hAnsi="Times New Roman" w:cs="Times LT Std"/>
          <w:color w:val="000000" w:themeColor="text1"/>
          <w:sz w:val="18"/>
          <w:szCs w:val="18"/>
          <w:u w:color="D0111A"/>
          <w:lang w:val="zh-TW"/>
        </w:rPr>
      </w:pP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PMingLiU" w:hAnsi="Times New Roman" w:cs="Times LT Std"/>
          <w:color w:val="000000" w:themeColor="text1"/>
          <w:sz w:val="18"/>
          <w:szCs w:val="18"/>
          <w:u w:color="D0111A"/>
          <w:lang w:val="zh-TW"/>
        </w:rPr>
      </w:pP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PMingLiU" w:hAnsi="Times New Roman" w:cs="Times LT Std"/>
          <w:b/>
          <w:bCs/>
          <w:caps/>
          <w:color w:val="000000" w:themeColor="text1"/>
          <w:sz w:val="20"/>
          <w:szCs w:val="20"/>
          <w:u w:color="D0111A"/>
          <w:lang w:val="zh-TW"/>
        </w:rPr>
      </w:pPr>
      <w:r w:rsidRPr="00390A0D">
        <w:rPr>
          <w:rFonts w:ascii="Times New Roman" w:eastAsia="宋体" w:hAnsi="Times New Roman" w:cs="Times LT Std" w:hint="eastAsia"/>
          <w:b/>
          <w:bCs/>
          <w:caps/>
          <w:color w:val="000000" w:themeColor="text1"/>
          <w:sz w:val="20"/>
          <w:szCs w:val="20"/>
          <w:u w:color="D0111A"/>
          <w:lang w:val="zh-TW" w:eastAsia="zh-CN"/>
        </w:rPr>
        <w:t>合并财务状况表（已经审计）</w:t>
      </w: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PMingLiU" w:hAnsi="Times New Roman" w:cs="Times LT Std"/>
          <w:color w:val="000000" w:themeColor="text1"/>
          <w:sz w:val="18"/>
          <w:szCs w:val="18"/>
          <w:u w:color="D0111A"/>
          <w:lang w:val="zh-TW"/>
        </w:rPr>
      </w:pPr>
      <w:r w:rsidRPr="00390A0D">
        <w:rPr>
          <w:rFonts w:ascii="Times New Roman" w:eastAsia="宋体" w:hAnsi="Times New Roman" w:cs="Times LT Std" w:hint="eastAsia"/>
          <w:color w:val="000000" w:themeColor="text1"/>
          <w:sz w:val="18"/>
          <w:szCs w:val="18"/>
          <w:u w:color="D0111A"/>
          <w:lang w:val="zh-TW" w:eastAsia="zh-CN"/>
        </w:rPr>
        <w:t>于十二月三十一日</w:t>
      </w:r>
    </w:p>
    <w:p w:rsidR="00390A0D" w:rsidRPr="00E64F31" w:rsidRDefault="00390A0D" w:rsidP="00390A0D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PMingLiU" w:hAnsi="Times New Roman" w:cs="Times LT Std"/>
          <w:color w:val="000000" w:themeColor="text1"/>
          <w:sz w:val="18"/>
          <w:szCs w:val="18"/>
          <w:u w:color="D0111A"/>
          <w:lang w:val="zh-TW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PMingLiU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二零一七年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二零一八年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二零一九年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二零二零年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二零二一年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流动资产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138,838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191,151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205,935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163,391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207,982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物业、厂房及设备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395,868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413,383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440,554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446,668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465,451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联营及合营公司投资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29,146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24,701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45,490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42,366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41,540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无形资产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15,070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16,073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16,306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15,129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14,864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资产总计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617,219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686,381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757,731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721,275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786,569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流动负债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(61,412)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(74,157)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(91,249)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(74,852)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(93,951)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非流动负债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(175,832)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(192,314)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(218,256)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(212,493)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(210,642)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负债总计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(237,244)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(266,471)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(309,505)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(287,345)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(304,593)</w:t>
            </w:r>
          </w:p>
        </w:tc>
      </w:tr>
      <w:tr w:rsidR="00390A0D" w:rsidRPr="000A4C67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ind w:left="283" w:hanging="170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 w:hint="eastAsia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股东权益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379,975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419,910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448,226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433,930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390A0D" w:rsidRPr="00E64F31" w:rsidRDefault="00390A0D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300" w:lineRule="exact"/>
              <w:jc w:val="right"/>
              <w:textAlignment w:val="baseline"/>
              <w:rPr>
                <w:rFonts w:ascii="Times New Roman" w:eastAsia="PMingLiU" w:hAnsi="Times New Roman" w:cs="ATC-*MHei-L+HelveticaNeueLT*002"/>
                <w:color w:val="000000" w:themeColor="text1"/>
                <w:sz w:val="18"/>
                <w:szCs w:val="18"/>
                <w:u w:color="D0111A"/>
                <w:lang w:val="zh-TW"/>
              </w:rPr>
            </w:pPr>
            <w:r w:rsidRPr="00390A0D">
              <w:rPr>
                <w:rFonts w:ascii="Times New Roman" w:eastAsia="宋体" w:hAnsi="Times New Roman" w:cs="Times LT Std"/>
                <w:b/>
                <w:bCs/>
                <w:color w:val="000000" w:themeColor="text1"/>
                <w:sz w:val="18"/>
                <w:szCs w:val="18"/>
                <w:u w:color="D0111A"/>
                <w:lang w:val="zh-TW" w:eastAsia="zh-CN"/>
              </w:rPr>
              <w:t>481,976</w:t>
            </w:r>
          </w:p>
        </w:tc>
      </w:tr>
    </w:tbl>
    <w:p w:rsidR="000A1EB2" w:rsidRDefault="000A1EB2"/>
    <w:sectPr w:rsidR="000A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E4" w:rsidRDefault="003C5CE4" w:rsidP="00390A0D">
      <w:pPr>
        <w:spacing w:after="0" w:line="240" w:lineRule="auto"/>
      </w:pPr>
      <w:r>
        <w:separator/>
      </w:r>
    </w:p>
  </w:endnote>
  <w:endnote w:type="continuationSeparator" w:id="0">
    <w:p w:rsidR="003C5CE4" w:rsidRDefault="003C5CE4" w:rsidP="0039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*MHei-L+HelveticaNeueLT*00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HeiHK-Bold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LT Std">
    <w:altName w:val="Times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E4" w:rsidRDefault="003C5CE4" w:rsidP="00390A0D">
      <w:pPr>
        <w:spacing w:after="0" w:line="240" w:lineRule="auto"/>
      </w:pPr>
      <w:r>
        <w:separator/>
      </w:r>
    </w:p>
  </w:footnote>
  <w:footnote w:type="continuationSeparator" w:id="0">
    <w:p w:rsidR="003C5CE4" w:rsidRDefault="003C5CE4" w:rsidP="00390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0E"/>
    <w:rsid w:val="000A1EB2"/>
    <w:rsid w:val="00390A0D"/>
    <w:rsid w:val="003C5CE4"/>
    <w:rsid w:val="00A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EB07D-5484-4D3B-8C18-3614771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0D"/>
    <w:pPr>
      <w:spacing w:after="160" w:line="259" w:lineRule="auto"/>
    </w:pPr>
    <w:rPr>
      <w:kern w:val="0"/>
      <w:sz w:val="22"/>
      <w:lang w:val="en-HK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A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390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A0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390A0D"/>
    <w:rPr>
      <w:sz w:val="18"/>
      <w:szCs w:val="18"/>
    </w:rPr>
  </w:style>
  <w:style w:type="paragraph" w:customStyle="1" w:styleId="a5">
    <w:name w:val="[無段落樣式]"/>
    <w:rsid w:val="00390A0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 w:val="24"/>
      <w:szCs w:val="24"/>
      <w:lang w:val="zh-TW" w:eastAsia="zh-TW"/>
    </w:rPr>
  </w:style>
  <w:style w:type="paragraph" w:customStyle="1" w:styleId="00Bodytext">
    <w:name w:val="00 Body text"/>
    <w:basedOn w:val="a5"/>
    <w:uiPriority w:val="99"/>
    <w:rsid w:val="00390A0D"/>
    <w:pPr>
      <w:tabs>
        <w:tab w:val="left" w:pos="454"/>
        <w:tab w:val="left" w:pos="907"/>
        <w:tab w:val="left" w:pos="1361"/>
        <w:tab w:val="left" w:pos="1814"/>
      </w:tabs>
      <w:suppressAutoHyphens/>
      <w:spacing w:line="220" w:lineRule="atLeast"/>
      <w:textAlignment w:val="baseline"/>
    </w:pPr>
    <w:rPr>
      <w:rFonts w:ascii="ATC-*MHei-L+HelveticaNeueLT*002" w:eastAsia="ATC-*MHei-L+HelveticaNeueLT*002" w:cs="ATC-*MHei-L+HelveticaNeueLT*002"/>
      <w:sz w:val="18"/>
      <w:szCs w:val="18"/>
      <w:u w:color="D0111A"/>
    </w:rPr>
  </w:style>
  <w:style w:type="character" w:customStyle="1" w:styleId="Italic">
    <w:name w:val="Italic"/>
    <w:uiPriority w:val="99"/>
    <w:rsid w:val="00390A0D"/>
    <w:rPr>
      <w:rFonts w:ascii="ATC-*MHei-L+HelveticaNeueLT*002" w:eastAsia="ATC-*MHei-L+HelveticaNeueLT*002" w:cs="ATC-*MHei-L+HelveticaNeueLT*0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刘倍贝</dc:creator>
  <cp:keywords/>
  <dc:description/>
  <cp:lastModifiedBy>刘倍贝</cp:lastModifiedBy>
  <cp:revision>2</cp:revision>
  <dcterms:created xsi:type="dcterms:W3CDTF">2022-05-06T01:53:00Z</dcterms:created>
  <dcterms:modified xsi:type="dcterms:W3CDTF">2022-05-06T01:54:00Z</dcterms:modified>
</cp:coreProperties>
</file>